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3"/>
        <w:rPr>
          <w:b w:val="1"/>
          <w:color w:val="000000"/>
          <w:sz w:val="26"/>
          <w:szCs w:val="26"/>
        </w:rPr>
      </w:pPr>
      <w:bookmarkStart w:colFirst="0" w:colLast="0" w:name="_hw4ydyle93xy" w:id="0"/>
      <w:bookmarkEnd w:id="0"/>
      <w:r w:rsidDel="00000000" w:rsidR="00000000" w:rsidRPr="00000000">
        <w:rPr>
          <w:b w:val="1"/>
          <w:color w:val="000000"/>
          <w:sz w:val="26"/>
          <w:szCs w:val="26"/>
          <w:rtl w:val="0"/>
        </w:rPr>
        <w:t xml:space="preserve">Guidance for Hosting Successful Vaccine Outreach Events at Village Apartments</w:t>
      </w:r>
    </w:p>
    <w:p w:rsidR="00000000" w:rsidDel="00000000" w:rsidP="00000000" w:rsidRDefault="00000000" w:rsidRPr="00000000" w14:paraId="00000002">
      <w:pPr>
        <w:pStyle w:val="Heading4"/>
        <w:rPr>
          <w:b w:val="1"/>
          <w:color w:val="000000"/>
          <w:sz w:val="22"/>
          <w:szCs w:val="22"/>
        </w:rPr>
      </w:pPr>
      <w:bookmarkStart w:colFirst="0" w:colLast="0" w:name="_6rmrdgxcvcoe" w:id="1"/>
      <w:bookmarkEnd w:id="1"/>
      <w:r w:rsidDel="00000000" w:rsidR="00000000" w:rsidRPr="00000000">
        <w:rPr>
          <w:b w:val="1"/>
          <w:color w:val="000000"/>
          <w:sz w:val="22"/>
          <w:szCs w:val="22"/>
          <w:rtl w:val="0"/>
        </w:rPr>
        <w:t xml:space="preserve">Purpose</w:t>
      </w:r>
    </w:p>
    <w:p w:rsidR="00000000" w:rsidDel="00000000" w:rsidP="00000000" w:rsidRDefault="00000000" w:rsidRPr="00000000" w14:paraId="00000003">
      <w:pPr>
        <w:numPr>
          <w:ilvl w:val="0"/>
          <w:numId w:val="7"/>
        </w:numPr>
        <w:ind w:left="720" w:hanging="360"/>
        <w:rPr/>
      </w:pPr>
      <w:r w:rsidDel="00000000" w:rsidR="00000000" w:rsidRPr="00000000">
        <w:rPr>
          <w:rtl w:val="0"/>
        </w:rPr>
        <w:t xml:space="preserve">The purpose of this document is to guide the organization of targeted and effective vaccine outreach initiatives at the Village Apartments, aiming to enhance vaccine uptake through community-specific strategies that align with local needs and cultural nuances.</w:t>
      </w:r>
      <w:r w:rsidDel="00000000" w:rsidR="00000000" w:rsidRPr="00000000">
        <w:rPr>
          <w:rtl w:val="0"/>
        </w:rPr>
      </w:r>
    </w:p>
    <w:p w:rsidR="00000000" w:rsidDel="00000000" w:rsidP="00000000" w:rsidRDefault="00000000" w:rsidRPr="00000000" w14:paraId="00000004">
      <w:pPr>
        <w:pStyle w:val="Heading4"/>
        <w:rPr>
          <w:b w:val="1"/>
          <w:color w:val="000000"/>
          <w:sz w:val="22"/>
          <w:szCs w:val="22"/>
        </w:rPr>
      </w:pPr>
      <w:bookmarkStart w:colFirst="0" w:colLast="0" w:name="_z3pfl6beswim" w:id="2"/>
      <w:bookmarkEnd w:id="2"/>
      <w:r w:rsidDel="00000000" w:rsidR="00000000" w:rsidRPr="00000000">
        <w:rPr>
          <w:b w:val="1"/>
          <w:color w:val="000000"/>
          <w:sz w:val="22"/>
          <w:szCs w:val="22"/>
          <w:rtl w:val="0"/>
        </w:rPr>
        <w:t xml:space="preserve">Contextual Background</w:t>
      </w:r>
    </w:p>
    <w:p w:rsidR="00000000" w:rsidDel="00000000" w:rsidP="00000000" w:rsidRDefault="00000000" w:rsidRPr="00000000" w14:paraId="00000005">
      <w:pPr>
        <w:numPr>
          <w:ilvl w:val="0"/>
          <w:numId w:val="8"/>
        </w:numPr>
        <w:ind w:left="720" w:hanging="360"/>
      </w:pPr>
      <w:r w:rsidDel="00000000" w:rsidR="00000000" w:rsidRPr="00000000">
        <w:rPr>
          <w:rtl w:val="0"/>
        </w:rPr>
        <w:t xml:space="preserve">Community Profile: The Village Apartments, an affordable housing community in Vernon, CA, operated by Solari Enterprises, Inc., hosts a diverse population primarily comprising Spanish-speaking residents alongside several other languages. This diversity introduces complexities in communication and necessitates cultural competency from outreach teams. The community faces access barriers to traditional healthcare settings, presenting both challenges and opportunities for mobile health initiatives.</w:t>
      </w:r>
    </w:p>
    <w:p w:rsidR="00000000" w:rsidDel="00000000" w:rsidP="00000000" w:rsidRDefault="00000000" w:rsidRPr="00000000" w14:paraId="00000006">
      <w:pPr>
        <w:numPr>
          <w:ilvl w:val="0"/>
          <w:numId w:val="8"/>
        </w:numPr>
        <w:ind w:left="720" w:hanging="360"/>
      </w:pPr>
      <w:r w:rsidDel="00000000" w:rsidR="00000000" w:rsidRPr="00000000">
        <w:rPr>
          <w:rtl w:val="0"/>
        </w:rPr>
        <w:t xml:space="preserve">Existing Community Dynamics: The recent establishment of a permanent health and wellness center provides continuous access to primary care, vaccinations, and health education, serving as a stable healthcare resource for residents irrespective of their insurance or immigration status. Additionally, a mobile outreach team complements this facility by maintaining a visible presence throughout Vernon, enhancing community awareness and engagement with available health services.</w:t>
      </w:r>
    </w:p>
    <w:p w:rsidR="00000000" w:rsidDel="00000000" w:rsidP="00000000" w:rsidRDefault="00000000" w:rsidRPr="00000000" w14:paraId="00000007">
      <w:pPr>
        <w:numPr>
          <w:ilvl w:val="0"/>
          <w:numId w:val="8"/>
        </w:numPr>
        <w:ind w:left="720" w:hanging="360"/>
        <w:rPr/>
      </w:pPr>
      <w:r w:rsidDel="00000000" w:rsidR="00000000" w:rsidRPr="00000000">
        <w:rPr>
          <w:rtl w:val="0"/>
        </w:rPr>
        <w:t xml:space="preserve">Mobile Health Initiatives: Complementing the health center, a mobile outreach team maintains a visible presence throughout Vernon, enhancing community awareness and engagement with health services. The mobile health unit is equipped to provide onsite vaccinations and is staffed with providers capable of delivering vaccine counseling. This dual approach of static and mobile healthcare services ensures comprehensive coverage and accessibility.</w:t>
      </w:r>
    </w:p>
    <w:p w:rsidR="00000000" w:rsidDel="00000000" w:rsidP="00000000" w:rsidRDefault="00000000" w:rsidRPr="00000000" w14:paraId="00000008">
      <w:pPr>
        <w:pStyle w:val="Heading4"/>
        <w:rPr>
          <w:b w:val="1"/>
          <w:color w:val="000000"/>
          <w:sz w:val="22"/>
          <w:szCs w:val="22"/>
        </w:rPr>
      </w:pPr>
      <w:bookmarkStart w:colFirst="0" w:colLast="0" w:name="_x2w2cee3oafq" w:id="3"/>
      <w:bookmarkEnd w:id="3"/>
      <w:r w:rsidDel="00000000" w:rsidR="00000000" w:rsidRPr="00000000">
        <w:rPr>
          <w:b w:val="1"/>
          <w:color w:val="000000"/>
          <w:sz w:val="22"/>
          <w:szCs w:val="22"/>
          <w:rtl w:val="0"/>
        </w:rPr>
        <w:t xml:space="preserve">Enhanced Community Engagement and Safety Considerations</w:t>
      </w:r>
    </w:p>
    <w:p w:rsidR="00000000" w:rsidDel="00000000" w:rsidP="00000000" w:rsidRDefault="00000000" w:rsidRPr="00000000" w14:paraId="00000009">
      <w:pPr>
        <w:numPr>
          <w:ilvl w:val="0"/>
          <w:numId w:val="11"/>
        </w:numPr>
        <w:ind w:left="720" w:hanging="360"/>
        <w:rPr/>
      </w:pPr>
      <w:r w:rsidDel="00000000" w:rsidR="00000000" w:rsidRPr="00000000">
        <w:rPr>
          <w:rtl w:val="0"/>
        </w:rPr>
        <w:t xml:space="preserve">Communication and Outreach Strategy: Robust communication strategies are crucial, involving multiple in-person visits to build trust and combat vaccine hesitancy. These visits are supported by informative materials left behind to reinforce the message and provide continuous education. The approach is adaptive, evolving based on community feedback and engagement levels observed during each interaction.</w:t>
      </w:r>
    </w:p>
    <w:p w:rsidR="00000000" w:rsidDel="00000000" w:rsidP="00000000" w:rsidRDefault="00000000" w:rsidRPr="00000000" w14:paraId="0000000A">
      <w:pPr>
        <w:numPr>
          <w:ilvl w:val="0"/>
          <w:numId w:val="11"/>
        </w:numPr>
        <w:ind w:left="720" w:hanging="360"/>
        <w:rPr/>
      </w:pPr>
      <w:r w:rsidDel="00000000" w:rsidR="00000000" w:rsidRPr="00000000">
        <w:rPr>
          <w:rtl w:val="0"/>
        </w:rPr>
        <w:t xml:space="preserve">Safety and Cultural Sensitivity: Recognizing the nuances of housing, including low-income settings, outreach teams wear neutral colors to avoid potential cultural or gang-related misunderstandings. This consideration is part of broader safety and respect protocols designed to foster a comfortable and secure environment for all participants.</w:t>
      </w:r>
    </w:p>
    <w:p w:rsidR="00000000" w:rsidDel="00000000" w:rsidP="00000000" w:rsidRDefault="00000000" w:rsidRPr="00000000" w14:paraId="0000000B">
      <w:pPr>
        <w:pStyle w:val="Heading3"/>
        <w:rPr>
          <w:b w:val="1"/>
          <w:color w:val="000000"/>
          <w:sz w:val="22"/>
          <w:szCs w:val="22"/>
        </w:rPr>
      </w:pPr>
      <w:bookmarkStart w:colFirst="0" w:colLast="0" w:name="_slmtn4fv7ila" w:id="4"/>
      <w:bookmarkEnd w:id="4"/>
      <w:r w:rsidDel="00000000" w:rsidR="00000000" w:rsidRPr="00000000">
        <w:rPr>
          <w:b w:val="1"/>
          <w:color w:val="000000"/>
          <w:sz w:val="22"/>
          <w:szCs w:val="22"/>
          <w:rtl w:val="0"/>
        </w:rPr>
        <w:t xml:space="preserve">Checklist for Continuous Outreach in Community Housing</w:t>
      </w:r>
    </w:p>
    <w:p w:rsidR="00000000" w:rsidDel="00000000" w:rsidP="00000000" w:rsidRDefault="00000000" w:rsidRPr="00000000" w14:paraId="0000000C">
      <w:pPr>
        <w:pStyle w:val="Heading4"/>
        <w:ind w:left="720" w:firstLine="0"/>
        <w:rPr>
          <w:color w:val="000000"/>
          <w:sz w:val="22"/>
          <w:szCs w:val="22"/>
        </w:rPr>
      </w:pPr>
      <w:bookmarkStart w:colFirst="0" w:colLast="0" w:name="_ujrecxpl5dsm" w:id="5"/>
      <w:bookmarkEnd w:id="5"/>
      <w:r w:rsidDel="00000000" w:rsidR="00000000" w:rsidRPr="00000000">
        <w:rPr>
          <w:color w:val="000000"/>
          <w:sz w:val="22"/>
          <w:szCs w:val="22"/>
          <w:rtl w:val="0"/>
        </w:rPr>
        <w:t xml:space="preserve">1. Permissions and Coordination</w:t>
      </w:r>
    </w:p>
    <w:p w:rsidR="00000000" w:rsidDel="00000000" w:rsidP="00000000" w:rsidRDefault="00000000" w:rsidRPr="00000000" w14:paraId="0000000D">
      <w:pPr>
        <w:numPr>
          <w:ilvl w:val="0"/>
          <w:numId w:val="3"/>
        </w:numPr>
        <w:ind w:left="1440" w:hanging="360"/>
        <w:rPr/>
      </w:pPr>
      <w:r w:rsidDel="00000000" w:rsidR="00000000" w:rsidRPr="00000000">
        <w:rPr>
          <w:rtl w:val="0"/>
        </w:rPr>
        <w:t xml:space="preserve">Secure Ongoing Permissions: Collaborate with the housing authority and management of Village Apartments to ensure consistent access for outreach activities.</w:t>
      </w:r>
    </w:p>
    <w:p w:rsidR="00000000" w:rsidDel="00000000" w:rsidP="00000000" w:rsidRDefault="00000000" w:rsidRPr="00000000" w14:paraId="0000000E">
      <w:pPr>
        <w:numPr>
          <w:ilvl w:val="0"/>
          <w:numId w:val="3"/>
        </w:numPr>
        <w:ind w:left="1440" w:hanging="360"/>
        <w:rPr/>
      </w:pPr>
      <w:r w:rsidDel="00000000" w:rsidR="00000000" w:rsidRPr="00000000">
        <w:rPr>
          <w:rtl w:val="0"/>
        </w:rPr>
        <w:t xml:space="preserve">Health Services Coordination: Work closely with local health services to ensure that outreach efforts are synchronized and that services are not duplicated.</w:t>
      </w:r>
    </w:p>
    <w:p w:rsidR="00000000" w:rsidDel="00000000" w:rsidP="00000000" w:rsidRDefault="00000000" w:rsidRPr="00000000" w14:paraId="0000000F">
      <w:pPr>
        <w:pStyle w:val="Heading4"/>
        <w:ind w:left="720" w:firstLine="0"/>
        <w:rPr>
          <w:color w:val="000000"/>
          <w:sz w:val="22"/>
          <w:szCs w:val="22"/>
        </w:rPr>
      </w:pPr>
      <w:bookmarkStart w:colFirst="0" w:colLast="0" w:name="_jp463hciwm0y" w:id="6"/>
      <w:bookmarkEnd w:id="6"/>
      <w:r w:rsidDel="00000000" w:rsidR="00000000" w:rsidRPr="00000000">
        <w:rPr>
          <w:color w:val="000000"/>
          <w:sz w:val="22"/>
          <w:szCs w:val="22"/>
          <w:rtl w:val="0"/>
        </w:rPr>
        <w:t xml:space="preserve">2. Stakeholder and Community Engagement</w:t>
      </w:r>
    </w:p>
    <w:p w:rsidR="00000000" w:rsidDel="00000000" w:rsidP="00000000" w:rsidRDefault="00000000" w:rsidRPr="00000000" w14:paraId="00000010">
      <w:pPr>
        <w:numPr>
          <w:ilvl w:val="0"/>
          <w:numId w:val="9"/>
        </w:numPr>
        <w:ind w:left="1440" w:hanging="360"/>
        <w:rPr/>
      </w:pPr>
      <w:r w:rsidDel="00000000" w:rsidR="00000000" w:rsidRPr="00000000">
        <w:rPr>
          <w:rtl w:val="0"/>
        </w:rPr>
        <w:t xml:space="preserve">Regular Community Touchpoints: Establish and maintain regular communication with community leaders and influential residents to gather feedback and adapt strategies accordingly.</w:t>
      </w:r>
    </w:p>
    <w:p w:rsidR="00000000" w:rsidDel="00000000" w:rsidP="00000000" w:rsidRDefault="00000000" w:rsidRPr="00000000" w14:paraId="00000011">
      <w:pPr>
        <w:numPr>
          <w:ilvl w:val="0"/>
          <w:numId w:val="9"/>
        </w:numPr>
        <w:ind w:left="1440" w:hanging="360"/>
        <w:rPr/>
      </w:pPr>
      <w:r w:rsidDel="00000000" w:rsidR="00000000" w:rsidRPr="00000000">
        <w:rPr>
          <w:rtl w:val="0"/>
        </w:rPr>
        <w:t xml:space="preserve">Collaboration with Local Entities: Partner with schools, community centers, religious groups, and other local organizations to integrate health messaging into existing community activities and gatherings.</w:t>
      </w:r>
    </w:p>
    <w:p w:rsidR="00000000" w:rsidDel="00000000" w:rsidP="00000000" w:rsidRDefault="00000000" w:rsidRPr="00000000" w14:paraId="00000012">
      <w:pPr>
        <w:pStyle w:val="Heading4"/>
        <w:ind w:left="720" w:firstLine="0"/>
        <w:rPr>
          <w:color w:val="000000"/>
          <w:sz w:val="22"/>
          <w:szCs w:val="22"/>
        </w:rPr>
      </w:pPr>
      <w:bookmarkStart w:colFirst="0" w:colLast="0" w:name="_wr4s7gn48oz7" w:id="7"/>
      <w:bookmarkEnd w:id="7"/>
      <w:r w:rsidDel="00000000" w:rsidR="00000000" w:rsidRPr="00000000">
        <w:rPr>
          <w:color w:val="000000"/>
          <w:sz w:val="22"/>
          <w:szCs w:val="22"/>
          <w:rtl w:val="0"/>
        </w:rPr>
        <w:t xml:space="preserve">3. Resource Allocation and Logistics</w:t>
      </w:r>
    </w:p>
    <w:p w:rsidR="00000000" w:rsidDel="00000000" w:rsidP="00000000" w:rsidRDefault="00000000" w:rsidRPr="00000000" w14:paraId="00000013">
      <w:pPr>
        <w:numPr>
          <w:ilvl w:val="0"/>
          <w:numId w:val="1"/>
        </w:numPr>
        <w:ind w:left="1440" w:hanging="360"/>
        <w:rPr/>
      </w:pPr>
      <w:r w:rsidDel="00000000" w:rsidR="00000000" w:rsidRPr="00000000">
        <w:rPr>
          <w:rtl w:val="0"/>
        </w:rPr>
        <w:t xml:space="preserve">Mobile Health Unit Scheduling: Routinely position the mobile health unit in high-traffic areas to maximize visibility and accessibility, ensuring it is equipped to provide onsite vaccinations and health counseling.</w:t>
      </w:r>
    </w:p>
    <w:p w:rsidR="00000000" w:rsidDel="00000000" w:rsidP="00000000" w:rsidRDefault="00000000" w:rsidRPr="00000000" w14:paraId="00000014">
      <w:pPr>
        <w:numPr>
          <w:ilvl w:val="0"/>
          <w:numId w:val="1"/>
        </w:numPr>
        <w:ind w:left="1440" w:hanging="360"/>
        <w:rPr/>
      </w:pPr>
      <w:r w:rsidDel="00000000" w:rsidR="00000000" w:rsidRPr="00000000">
        <w:rPr>
          <w:rtl w:val="0"/>
        </w:rPr>
        <w:t xml:space="preserve">Informational Materials: Develop and distribute engaging and informative materials such as flyers, posters, and digital content, designed to educate and invite community interaction over time. </w:t>
      </w:r>
    </w:p>
    <w:p w:rsidR="00000000" w:rsidDel="00000000" w:rsidP="00000000" w:rsidRDefault="00000000" w:rsidRPr="00000000" w14:paraId="00000015">
      <w:pPr>
        <w:numPr>
          <w:ilvl w:val="0"/>
          <w:numId w:val="1"/>
        </w:numPr>
        <w:ind w:left="1440" w:hanging="360"/>
        <w:rPr/>
      </w:pPr>
      <w:r w:rsidDel="00000000" w:rsidR="00000000" w:rsidRPr="00000000">
        <w:rPr>
          <w:rtl w:val="0"/>
        </w:rPr>
        <w:t xml:space="preserve">Utilizing Unique Resources: We’ve included publications with utility bills to maximize exposure to health literacy.</w:t>
      </w:r>
    </w:p>
    <w:p w:rsidR="00000000" w:rsidDel="00000000" w:rsidP="00000000" w:rsidRDefault="00000000" w:rsidRPr="00000000" w14:paraId="00000016">
      <w:pPr>
        <w:pStyle w:val="Heading4"/>
        <w:ind w:left="720" w:firstLine="0"/>
        <w:rPr>
          <w:color w:val="000000"/>
          <w:sz w:val="22"/>
          <w:szCs w:val="22"/>
        </w:rPr>
      </w:pPr>
      <w:bookmarkStart w:colFirst="0" w:colLast="0" w:name="_r9wso62o7l4i" w:id="8"/>
      <w:bookmarkEnd w:id="8"/>
      <w:r w:rsidDel="00000000" w:rsidR="00000000" w:rsidRPr="00000000">
        <w:rPr>
          <w:color w:val="000000"/>
          <w:sz w:val="22"/>
          <w:szCs w:val="22"/>
          <w:rtl w:val="0"/>
        </w:rPr>
        <w:t xml:space="preserve">4. Comprehensive Communication Strategy</w:t>
      </w:r>
    </w:p>
    <w:p w:rsidR="00000000" w:rsidDel="00000000" w:rsidP="00000000" w:rsidRDefault="00000000" w:rsidRPr="00000000" w14:paraId="00000017">
      <w:pPr>
        <w:numPr>
          <w:ilvl w:val="0"/>
          <w:numId w:val="5"/>
        </w:numPr>
        <w:ind w:left="1440" w:hanging="360"/>
        <w:rPr/>
      </w:pPr>
      <w:r w:rsidDel="00000000" w:rsidR="00000000" w:rsidRPr="00000000">
        <w:rPr>
          <w:rtl w:val="0"/>
        </w:rPr>
        <w:t xml:space="preserve">Develop Iterative Content: Create a series of informative content pieces—health tips, success stories, service updates—that are disseminated periodically to maintain community interest and engagement without overwhelming residents.</w:t>
      </w:r>
    </w:p>
    <w:p w:rsidR="00000000" w:rsidDel="00000000" w:rsidP="00000000" w:rsidRDefault="00000000" w:rsidRPr="00000000" w14:paraId="00000018">
      <w:pPr>
        <w:numPr>
          <w:ilvl w:val="0"/>
          <w:numId w:val="5"/>
        </w:numPr>
        <w:ind w:left="1440" w:hanging="360"/>
        <w:rPr/>
      </w:pPr>
      <w:r w:rsidDel="00000000" w:rsidR="00000000" w:rsidRPr="00000000">
        <w:rPr>
          <w:rtl w:val="0"/>
        </w:rPr>
        <w:t xml:space="preserve">Active and Passive Engagement: Utilize both passive tools (e.g., locating mobile units in high visibility areas, flyers, pamphlets, etc.) for continuous message broadcasting and active strategies (e.g., door-to-door visits) for personal interaction, facilitating informed health decisions.</w:t>
      </w:r>
    </w:p>
    <w:p w:rsidR="00000000" w:rsidDel="00000000" w:rsidP="00000000" w:rsidRDefault="00000000" w:rsidRPr="00000000" w14:paraId="00000019">
      <w:pPr>
        <w:pStyle w:val="Heading4"/>
        <w:ind w:left="720" w:firstLine="0"/>
        <w:rPr>
          <w:color w:val="000000"/>
          <w:sz w:val="22"/>
          <w:szCs w:val="22"/>
        </w:rPr>
      </w:pPr>
      <w:bookmarkStart w:colFirst="0" w:colLast="0" w:name="_rvxa89trf92u" w:id="9"/>
      <w:bookmarkEnd w:id="9"/>
      <w:r w:rsidDel="00000000" w:rsidR="00000000" w:rsidRPr="00000000">
        <w:rPr>
          <w:color w:val="000000"/>
          <w:sz w:val="22"/>
          <w:szCs w:val="22"/>
          <w:rtl w:val="0"/>
        </w:rPr>
        <w:t xml:space="preserve">5. Safety, Cultural Sensitivity, and Empowerment</w:t>
      </w:r>
    </w:p>
    <w:p w:rsidR="00000000" w:rsidDel="00000000" w:rsidP="00000000" w:rsidRDefault="00000000" w:rsidRPr="00000000" w14:paraId="0000001A">
      <w:pPr>
        <w:numPr>
          <w:ilvl w:val="0"/>
          <w:numId w:val="10"/>
        </w:numPr>
        <w:ind w:left="1440" w:hanging="360"/>
        <w:rPr/>
      </w:pPr>
      <w:r w:rsidDel="00000000" w:rsidR="00000000" w:rsidRPr="00000000">
        <w:rPr>
          <w:rtl w:val="0"/>
        </w:rPr>
        <w:t xml:space="preserve">Cultural Training and Dress Code: Ensure all outreach team members are trained in cultural sensitivity and adhere to a neutral, professional dress code to foster a safe and respectful environment.</w:t>
      </w:r>
    </w:p>
    <w:p w:rsidR="00000000" w:rsidDel="00000000" w:rsidP="00000000" w:rsidRDefault="00000000" w:rsidRPr="00000000" w14:paraId="0000001B">
      <w:pPr>
        <w:numPr>
          <w:ilvl w:val="0"/>
          <w:numId w:val="10"/>
        </w:numPr>
        <w:ind w:left="1440" w:hanging="360"/>
        <w:rPr/>
      </w:pPr>
      <w:r w:rsidDel="00000000" w:rsidR="00000000" w:rsidRPr="00000000">
        <w:rPr>
          <w:rtl w:val="0"/>
        </w:rPr>
        <w:t xml:space="preserve">Health Literacy Workshops: Conduct informal workshops and discussions in community spaces to foster vaccine awareness and broader health education, empowering residents to make informed health decisions.</w:t>
      </w:r>
    </w:p>
    <w:p w:rsidR="00000000" w:rsidDel="00000000" w:rsidP="00000000" w:rsidRDefault="00000000" w:rsidRPr="00000000" w14:paraId="0000001C">
      <w:pPr>
        <w:pStyle w:val="Heading4"/>
        <w:ind w:left="720" w:firstLine="0"/>
        <w:rPr>
          <w:color w:val="000000"/>
          <w:sz w:val="22"/>
          <w:szCs w:val="22"/>
        </w:rPr>
      </w:pPr>
      <w:bookmarkStart w:colFirst="0" w:colLast="0" w:name="_l7rwkpcezxq8" w:id="10"/>
      <w:bookmarkEnd w:id="10"/>
      <w:r w:rsidDel="00000000" w:rsidR="00000000" w:rsidRPr="00000000">
        <w:rPr>
          <w:color w:val="000000"/>
          <w:sz w:val="22"/>
          <w:szCs w:val="22"/>
          <w:rtl w:val="0"/>
        </w:rPr>
        <w:t xml:space="preserve">7. Special Considerations for Continuous Outreach</w:t>
      </w:r>
    </w:p>
    <w:p w:rsidR="00000000" w:rsidDel="00000000" w:rsidP="00000000" w:rsidRDefault="00000000" w:rsidRPr="00000000" w14:paraId="0000001D">
      <w:pPr>
        <w:numPr>
          <w:ilvl w:val="0"/>
          <w:numId w:val="6"/>
        </w:numPr>
        <w:ind w:left="1440" w:hanging="360"/>
        <w:rPr/>
      </w:pPr>
      <w:r w:rsidDel="00000000" w:rsidR="00000000" w:rsidRPr="00000000">
        <w:rPr>
          <w:rtl w:val="0"/>
        </w:rPr>
        <w:t xml:space="preserve">Iterative In-Person Outreach: Plan multiple rounds of in-person visits by trained outreach teams to discuss health services and benefits. Ensure these visits are respectful and consider community norms and sensitivities.</w:t>
      </w:r>
    </w:p>
    <w:p w:rsidR="00000000" w:rsidDel="00000000" w:rsidP="00000000" w:rsidRDefault="00000000" w:rsidRPr="00000000" w14:paraId="0000001E">
      <w:pPr>
        <w:numPr>
          <w:ilvl w:val="0"/>
          <w:numId w:val="6"/>
        </w:numPr>
        <w:ind w:left="1440" w:hanging="360"/>
        <w:rPr/>
      </w:pPr>
      <w:r w:rsidDel="00000000" w:rsidR="00000000" w:rsidRPr="00000000">
        <w:rPr>
          <w:rtl w:val="0"/>
        </w:rPr>
        <w:t xml:space="preserve">Community Tailored Promotions: Utilize networks and relationships with local businesses and community centers to amplify outreach efforts. Train community members as ambassadors to enhance credibility and personalize the message.</w:t>
      </w:r>
      <w:r w:rsidDel="00000000" w:rsidR="00000000" w:rsidRPr="00000000">
        <w:rPr>
          <w:rtl w:val="0"/>
        </w:rPr>
      </w:r>
    </w:p>
    <w:p w:rsidR="00000000" w:rsidDel="00000000" w:rsidP="00000000" w:rsidRDefault="00000000" w:rsidRPr="00000000" w14:paraId="0000001F">
      <w:pPr>
        <w:pStyle w:val="Heading3"/>
        <w:rPr>
          <w:b w:val="1"/>
          <w:color w:val="000000"/>
          <w:sz w:val="22"/>
          <w:szCs w:val="22"/>
        </w:rPr>
      </w:pPr>
      <w:bookmarkStart w:colFirst="0" w:colLast="0" w:name="_wwb35lfo8ndg" w:id="11"/>
      <w:bookmarkEnd w:id="11"/>
      <w:r w:rsidDel="00000000" w:rsidR="00000000" w:rsidRPr="00000000">
        <w:rPr>
          <w:b w:val="1"/>
          <w:color w:val="000000"/>
          <w:sz w:val="22"/>
          <w:szCs w:val="22"/>
          <w:rtl w:val="0"/>
        </w:rPr>
        <w:t xml:space="preserve">Best Practices and Lessons Learned</w:t>
      </w:r>
    </w:p>
    <w:p w:rsidR="00000000" w:rsidDel="00000000" w:rsidP="00000000" w:rsidRDefault="00000000" w:rsidRPr="00000000" w14:paraId="00000020">
      <w:pPr>
        <w:pStyle w:val="Heading4"/>
        <w:ind w:left="720" w:firstLine="0"/>
        <w:rPr>
          <w:b w:val="1"/>
          <w:color w:val="000000"/>
          <w:sz w:val="22"/>
          <w:szCs w:val="22"/>
        </w:rPr>
      </w:pPr>
      <w:bookmarkStart w:colFirst="0" w:colLast="0" w:name="_waieedfpd0f8" w:id="12"/>
      <w:bookmarkEnd w:id="12"/>
      <w:r w:rsidDel="00000000" w:rsidR="00000000" w:rsidRPr="00000000">
        <w:rPr>
          <w:b w:val="1"/>
          <w:color w:val="000000"/>
          <w:sz w:val="22"/>
          <w:szCs w:val="22"/>
          <w:rtl w:val="0"/>
        </w:rPr>
        <w:t xml:space="preserve">Best Practices</w:t>
      </w:r>
    </w:p>
    <w:p w:rsidR="00000000" w:rsidDel="00000000" w:rsidP="00000000" w:rsidRDefault="00000000" w:rsidRPr="00000000" w14:paraId="00000021">
      <w:pPr>
        <w:numPr>
          <w:ilvl w:val="0"/>
          <w:numId w:val="4"/>
        </w:numPr>
        <w:ind w:left="1440" w:hanging="360"/>
        <w:rPr/>
      </w:pPr>
      <w:r w:rsidDel="00000000" w:rsidR="00000000" w:rsidRPr="00000000">
        <w:rPr>
          <w:rtl w:val="0"/>
        </w:rPr>
        <w:t xml:space="preserve">Consistent Community Presence:</w:t>
      </w:r>
    </w:p>
    <w:p w:rsidR="00000000" w:rsidDel="00000000" w:rsidP="00000000" w:rsidRDefault="00000000" w:rsidRPr="00000000" w14:paraId="00000022">
      <w:pPr>
        <w:numPr>
          <w:ilvl w:val="1"/>
          <w:numId w:val="4"/>
        </w:numPr>
        <w:ind w:left="2160" w:hanging="360"/>
        <w:rPr/>
      </w:pPr>
      <w:r w:rsidDel="00000000" w:rsidR="00000000" w:rsidRPr="00000000">
        <w:rPr>
          <w:rtl w:val="0"/>
        </w:rPr>
        <w:t xml:space="preserve">Strategy: Establish a routine schedule for the mobile health unit and outreach teams to visit the community. This regularity ensures that residents become familiar with the services and the faces of the team members, building trust and approachability.</w:t>
      </w:r>
    </w:p>
    <w:p w:rsidR="00000000" w:rsidDel="00000000" w:rsidP="00000000" w:rsidRDefault="00000000" w:rsidRPr="00000000" w14:paraId="00000023">
      <w:pPr>
        <w:numPr>
          <w:ilvl w:val="1"/>
          <w:numId w:val="4"/>
        </w:numPr>
        <w:ind w:left="2160" w:hanging="360"/>
        <w:rPr/>
      </w:pPr>
      <w:r w:rsidDel="00000000" w:rsidR="00000000" w:rsidRPr="00000000">
        <w:rPr>
          <w:rtl w:val="0"/>
        </w:rPr>
        <w:t xml:space="preserve">Application: Implement a predictable timetable that is communicated through various channels such as community bulletin boards, newsletters, and social media to keep the community informed and engaged.</w:t>
      </w:r>
    </w:p>
    <w:p w:rsidR="00000000" w:rsidDel="00000000" w:rsidP="00000000" w:rsidRDefault="00000000" w:rsidRPr="00000000" w14:paraId="00000024">
      <w:pPr>
        <w:numPr>
          <w:ilvl w:val="0"/>
          <w:numId w:val="4"/>
        </w:numPr>
        <w:ind w:left="1440" w:hanging="360"/>
        <w:rPr/>
      </w:pPr>
      <w:r w:rsidDel="00000000" w:rsidR="00000000" w:rsidRPr="00000000">
        <w:rPr>
          <w:rtl w:val="0"/>
        </w:rPr>
        <w:t xml:space="preserve">Leverage Local Influencers:</w:t>
      </w:r>
    </w:p>
    <w:p w:rsidR="00000000" w:rsidDel="00000000" w:rsidP="00000000" w:rsidRDefault="00000000" w:rsidRPr="00000000" w14:paraId="00000025">
      <w:pPr>
        <w:numPr>
          <w:ilvl w:val="1"/>
          <w:numId w:val="4"/>
        </w:numPr>
        <w:ind w:left="2160" w:hanging="360"/>
        <w:rPr/>
      </w:pPr>
      <w:r w:rsidDel="00000000" w:rsidR="00000000" w:rsidRPr="00000000">
        <w:rPr>
          <w:rtl w:val="0"/>
        </w:rPr>
        <w:t xml:space="preserve">Strategy: Identify and collaborate with influential community members who can act as health ambassadors. These individuals could be religious leaders, teachers, local business owners, or respected elders.</w:t>
      </w:r>
    </w:p>
    <w:p w:rsidR="00000000" w:rsidDel="00000000" w:rsidP="00000000" w:rsidRDefault="00000000" w:rsidRPr="00000000" w14:paraId="00000026">
      <w:pPr>
        <w:numPr>
          <w:ilvl w:val="1"/>
          <w:numId w:val="4"/>
        </w:numPr>
        <w:ind w:left="2160" w:hanging="360"/>
        <w:rPr/>
      </w:pPr>
      <w:r w:rsidDel="00000000" w:rsidR="00000000" w:rsidRPr="00000000">
        <w:rPr>
          <w:rtl w:val="0"/>
        </w:rPr>
        <w:t xml:space="preserve">Application: Train these influencers on key health messages and empower them to share these messages within their circles of influence, which can significantly enhance the credibility and reach of the outreach efforts.</w:t>
      </w:r>
    </w:p>
    <w:p w:rsidR="00000000" w:rsidDel="00000000" w:rsidP="00000000" w:rsidRDefault="00000000" w:rsidRPr="00000000" w14:paraId="00000027">
      <w:pPr>
        <w:numPr>
          <w:ilvl w:val="0"/>
          <w:numId w:val="4"/>
        </w:numPr>
        <w:ind w:left="1440" w:hanging="360"/>
        <w:rPr/>
      </w:pPr>
      <w:r w:rsidDel="00000000" w:rsidR="00000000" w:rsidRPr="00000000">
        <w:rPr>
          <w:rtl w:val="0"/>
        </w:rPr>
        <w:t xml:space="preserve">Address Barriers Proactively:</w:t>
      </w:r>
    </w:p>
    <w:p w:rsidR="00000000" w:rsidDel="00000000" w:rsidP="00000000" w:rsidRDefault="00000000" w:rsidRPr="00000000" w14:paraId="00000028">
      <w:pPr>
        <w:numPr>
          <w:ilvl w:val="1"/>
          <w:numId w:val="4"/>
        </w:numPr>
        <w:ind w:left="2160" w:hanging="360"/>
        <w:rPr/>
      </w:pPr>
      <w:r w:rsidDel="00000000" w:rsidR="00000000" w:rsidRPr="00000000">
        <w:rPr>
          <w:rtl w:val="0"/>
        </w:rPr>
        <w:t xml:space="preserve">Strategy: Conduct preliminary assessments to identify and understand potential barriers that could prevent community members from accessing health services. These could include logistical, cultural, linguistic, or financial barriers.</w:t>
      </w:r>
    </w:p>
    <w:p w:rsidR="00000000" w:rsidDel="00000000" w:rsidP="00000000" w:rsidRDefault="00000000" w:rsidRPr="00000000" w14:paraId="00000029">
      <w:pPr>
        <w:numPr>
          <w:ilvl w:val="1"/>
          <w:numId w:val="4"/>
        </w:numPr>
        <w:ind w:left="2160" w:hanging="360"/>
        <w:rPr/>
      </w:pPr>
      <w:r w:rsidDel="00000000" w:rsidR="00000000" w:rsidRPr="00000000">
        <w:rPr>
          <w:rtl w:val="0"/>
        </w:rPr>
        <w:t xml:space="preserve">Application: Provide transportation solutions for isolated areas, offer services at various times to accommodate different work schedules, ensure bilingual staff are available, and organize child-friendly activities during outreach to ease parents' participation.</w:t>
      </w:r>
    </w:p>
    <w:p w:rsidR="00000000" w:rsidDel="00000000" w:rsidP="00000000" w:rsidRDefault="00000000" w:rsidRPr="00000000" w14:paraId="0000002A">
      <w:pPr>
        <w:pStyle w:val="Heading4"/>
        <w:ind w:left="720" w:firstLine="0"/>
        <w:rPr>
          <w:b w:val="1"/>
          <w:color w:val="000000"/>
          <w:sz w:val="22"/>
          <w:szCs w:val="22"/>
        </w:rPr>
      </w:pPr>
      <w:bookmarkStart w:colFirst="0" w:colLast="0" w:name="_f1pnka7d338j" w:id="13"/>
      <w:bookmarkEnd w:id="13"/>
      <w:r w:rsidDel="00000000" w:rsidR="00000000" w:rsidRPr="00000000">
        <w:rPr>
          <w:b w:val="1"/>
          <w:color w:val="000000"/>
          <w:sz w:val="22"/>
          <w:szCs w:val="22"/>
          <w:rtl w:val="0"/>
        </w:rPr>
        <w:t xml:space="preserve">Lessons Learned</w:t>
      </w:r>
    </w:p>
    <w:p w:rsidR="00000000" w:rsidDel="00000000" w:rsidP="00000000" w:rsidRDefault="00000000" w:rsidRPr="00000000" w14:paraId="0000002B">
      <w:pPr>
        <w:numPr>
          <w:ilvl w:val="0"/>
          <w:numId w:val="2"/>
        </w:numPr>
        <w:ind w:left="1440" w:hanging="360"/>
        <w:rPr/>
      </w:pPr>
      <w:r w:rsidDel="00000000" w:rsidR="00000000" w:rsidRPr="00000000">
        <w:rPr>
          <w:rtl w:val="0"/>
        </w:rPr>
        <w:t xml:space="preserve">Feedback Mechanisms:</w:t>
      </w:r>
    </w:p>
    <w:p w:rsidR="00000000" w:rsidDel="00000000" w:rsidP="00000000" w:rsidRDefault="00000000" w:rsidRPr="00000000" w14:paraId="0000002C">
      <w:pPr>
        <w:numPr>
          <w:ilvl w:val="1"/>
          <w:numId w:val="2"/>
        </w:numPr>
        <w:ind w:left="2160" w:hanging="360"/>
        <w:rPr/>
      </w:pPr>
      <w:r w:rsidDel="00000000" w:rsidR="00000000" w:rsidRPr="00000000">
        <w:rPr>
          <w:rtl w:val="0"/>
        </w:rPr>
        <w:t xml:space="preserve">Insight: Continuous feedback from the community not only helps in assessing the impact of the services provided but also in identifying areas for improvement.</w:t>
      </w:r>
    </w:p>
    <w:p w:rsidR="00000000" w:rsidDel="00000000" w:rsidP="00000000" w:rsidRDefault="00000000" w:rsidRPr="00000000" w14:paraId="0000002D">
      <w:pPr>
        <w:numPr>
          <w:ilvl w:val="1"/>
          <w:numId w:val="2"/>
        </w:numPr>
        <w:ind w:left="2160" w:hanging="360"/>
        <w:rPr/>
      </w:pPr>
      <w:r w:rsidDel="00000000" w:rsidR="00000000" w:rsidRPr="00000000">
        <w:rPr>
          <w:rtl w:val="0"/>
        </w:rPr>
        <w:t xml:space="preserve">Application: Utilize multiple feedback channels including digital surveys, feedback boxes at events, community forums, and direct interviews to gather comprehensive feedback. Regularly review and act on this feedback to make necessary adjustments.</w:t>
      </w:r>
    </w:p>
    <w:p w:rsidR="00000000" w:rsidDel="00000000" w:rsidP="00000000" w:rsidRDefault="00000000" w:rsidRPr="00000000" w14:paraId="0000002E">
      <w:pPr>
        <w:numPr>
          <w:ilvl w:val="0"/>
          <w:numId w:val="2"/>
        </w:numPr>
        <w:ind w:left="1440" w:hanging="360"/>
        <w:rPr/>
      </w:pPr>
      <w:r w:rsidDel="00000000" w:rsidR="00000000" w:rsidRPr="00000000">
        <w:rPr>
          <w:rtl w:val="0"/>
        </w:rPr>
        <w:t xml:space="preserve">Linking with Community Services:</w:t>
      </w:r>
    </w:p>
    <w:p w:rsidR="00000000" w:rsidDel="00000000" w:rsidP="00000000" w:rsidRDefault="00000000" w:rsidRPr="00000000" w14:paraId="0000002F">
      <w:pPr>
        <w:numPr>
          <w:ilvl w:val="1"/>
          <w:numId w:val="2"/>
        </w:numPr>
        <w:ind w:left="2160" w:hanging="360"/>
        <w:rPr/>
      </w:pPr>
      <w:r w:rsidDel="00000000" w:rsidR="00000000" w:rsidRPr="00000000">
        <w:rPr>
          <w:rtl w:val="0"/>
        </w:rPr>
        <w:t xml:space="preserve">Insight: Integrating health outreach with other community services has proven effective in increasing engagement and participation, as it presents health as part of a holistic approach to community welfare.</w:t>
      </w:r>
    </w:p>
    <w:p w:rsidR="00000000" w:rsidDel="00000000" w:rsidP="00000000" w:rsidRDefault="00000000" w:rsidRPr="00000000" w14:paraId="00000030">
      <w:pPr>
        <w:numPr>
          <w:ilvl w:val="1"/>
          <w:numId w:val="2"/>
        </w:numPr>
        <w:ind w:left="2160" w:hanging="360"/>
        <w:rPr/>
      </w:pPr>
      <w:r w:rsidDel="00000000" w:rsidR="00000000" w:rsidRPr="00000000">
        <w:rPr>
          <w:rtl w:val="0"/>
        </w:rPr>
        <w:t xml:space="preserve">Application: Coordinate with local food banks, schools, religious institutions, and community centers to include health services as part of their regular programming. For instance, scheduling vaccine outreach coinciding with food distribution days or community celebrations can increase visibility and uptake.</w:t>
      </w:r>
    </w:p>
    <w:p w:rsidR="00000000" w:rsidDel="00000000" w:rsidP="00000000" w:rsidRDefault="00000000" w:rsidRPr="00000000" w14:paraId="00000031">
      <w:pPr>
        <w:numPr>
          <w:ilvl w:val="0"/>
          <w:numId w:val="2"/>
        </w:numPr>
        <w:ind w:left="1440" w:hanging="360"/>
        <w:rPr/>
      </w:pPr>
      <w:r w:rsidDel="00000000" w:rsidR="00000000" w:rsidRPr="00000000">
        <w:rPr>
          <w:rtl w:val="0"/>
        </w:rPr>
        <w:t xml:space="preserve">Cultural Sensitivity and Inclusion:</w:t>
      </w:r>
    </w:p>
    <w:p w:rsidR="00000000" w:rsidDel="00000000" w:rsidP="00000000" w:rsidRDefault="00000000" w:rsidRPr="00000000" w14:paraId="00000032">
      <w:pPr>
        <w:numPr>
          <w:ilvl w:val="1"/>
          <w:numId w:val="2"/>
        </w:numPr>
        <w:ind w:left="2160" w:hanging="360"/>
        <w:rPr/>
      </w:pPr>
      <w:r w:rsidDel="00000000" w:rsidR="00000000" w:rsidRPr="00000000">
        <w:rPr>
          <w:rtl w:val="0"/>
        </w:rPr>
        <w:t xml:space="preserve">Insight: Recognizing and respecting cultural norms and practices is crucial in fostering a supportive and inclusive environment. Misunderstandings or disregard for cultural specifics can lead to reduced participation and trust.</w:t>
      </w:r>
    </w:p>
    <w:p w:rsidR="00000000" w:rsidDel="00000000" w:rsidP="00000000" w:rsidRDefault="00000000" w:rsidRPr="00000000" w14:paraId="00000033">
      <w:pPr>
        <w:numPr>
          <w:ilvl w:val="1"/>
          <w:numId w:val="2"/>
        </w:numPr>
        <w:ind w:left="2160" w:hanging="360"/>
        <w:rPr/>
      </w:pPr>
      <w:r w:rsidDel="00000000" w:rsidR="00000000" w:rsidRPr="00000000">
        <w:rPr>
          <w:rtl w:val="0"/>
        </w:rPr>
        <w:t xml:space="preserve">Application: Involve cultural consultants in planning sessions, and tailor communications and event setups to be culturally appropriate and respectful. Ensure that all outreach material is available in the primary languages of the community and is sensitive to cultural nuances.</w:t>
      </w:r>
    </w:p>
    <w:p w:rsidR="00000000" w:rsidDel="00000000" w:rsidP="00000000" w:rsidRDefault="00000000" w:rsidRPr="00000000" w14:paraId="00000034">
      <w:pPr>
        <w:numPr>
          <w:ilvl w:val="0"/>
          <w:numId w:val="2"/>
        </w:numPr>
        <w:ind w:left="1440" w:hanging="360"/>
        <w:rPr/>
      </w:pPr>
      <w:r w:rsidDel="00000000" w:rsidR="00000000" w:rsidRPr="00000000">
        <w:rPr>
          <w:rtl w:val="0"/>
        </w:rPr>
        <w:t xml:space="preserve">Iterative Approach to Outreach:</w:t>
      </w:r>
    </w:p>
    <w:p w:rsidR="00000000" w:rsidDel="00000000" w:rsidP="00000000" w:rsidRDefault="00000000" w:rsidRPr="00000000" w14:paraId="00000035">
      <w:pPr>
        <w:numPr>
          <w:ilvl w:val="1"/>
          <w:numId w:val="2"/>
        </w:numPr>
        <w:ind w:left="2160" w:hanging="360"/>
        <w:rPr/>
      </w:pPr>
      <w:r w:rsidDel="00000000" w:rsidR="00000000" w:rsidRPr="00000000">
        <w:rPr>
          <w:rtl w:val="0"/>
        </w:rPr>
        <w:t xml:space="preserve">Insight: An iterative approach, where strategies are continuously updated based on ongoing community feedback and changing circumstances, has led to more effective and adaptive outreach programs.</w:t>
      </w:r>
    </w:p>
    <w:p w:rsidR="00000000" w:rsidDel="00000000" w:rsidP="00000000" w:rsidRDefault="00000000" w:rsidRPr="00000000" w14:paraId="00000036">
      <w:pPr>
        <w:numPr>
          <w:ilvl w:val="1"/>
          <w:numId w:val="2"/>
        </w:numPr>
        <w:ind w:left="2160" w:hanging="360"/>
        <w:rPr/>
      </w:pPr>
      <w:r w:rsidDel="00000000" w:rsidR="00000000" w:rsidRPr="00000000">
        <w:rPr>
          <w:rtl w:val="0"/>
        </w:rPr>
        <w:t xml:space="preserve">Application: Establish a dynamic outreach strategy that is flexible enough to incorporate new insights and adapt to emerging community needs quickly.</w:t>
      </w:r>
    </w:p>
    <w:p w:rsidR="00000000" w:rsidDel="00000000" w:rsidP="00000000" w:rsidRDefault="00000000" w:rsidRPr="00000000" w14:paraId="00000037">
      <w:pPr>
        <w:numPr>
          <w:ilvl w:val="0"/>
          <w:numId w:val="2"/>
        </w:numPr>
        <w:ind w:left="1440" w:hanging="360"/>
        <w:rPr/>
      </w:pPr>
      <w:r w:rsidDel="00000000" w:rsidR="00000000" w:rsidRPr="00000000">
        <w:rPr>
          <w:rtl w:val="0"/>
        </w:rPr>
        <w:t xml:space="preserve">Empowerment Through Education:</w:t>
      </w:r>
    </w:p>
    <w:p w:rsidR="00000000" w:rsidDel="00000000" w:rsidP="00000000" w:rsidRDefault="00000000" w:rsidRPr="00000000" w14:paraId="00000038">
      <w:pPr>
        <w:numPr>
          <w:ilvl w:val="1"/>
          <w:numId w:val="2"/>
        </w:numPr>
        <w:ind w:left="2160" w:hanging="360"/>
        <w:rPr/>
      </w:pPr>
      <w:r w:rsidDel="00000000" w:rsidR="00000000" w:rsidRPr="00000000">
        <w:rPr>
          <w:rtl w:val="0"/>
        </w:rPr>
        <w:t xml:space="preserve">Insight: Empowering residents with knowledge about their health options promotes greater self-efficacy and long-term engagement with health services.</w:t>
      </w:r>
    </w:p>
    <w:p w:rsidR="00000000" w:rsidDel="00000000" w:rsidP="00000000" w:rsidRDefault="00000000" w:rsidRPr="00000000" w14:paraId="00000039">
      <w:pPr>
        <w:numPr>
          <w:ilvl w:val="1"/>
          <w:numId w:val="2"/>
        </w:numPr>
        <w:ind w:left="2160" w:hanging="360"/>
        <w:rPr/>
      </w:pPr>
      <w:r w:rsidDel="00000000" w:rsidR="00000000" w:rsidRPr="00000000">
        <w:rPr>
          <w:rtl w:val="0"/>
        </w:rPr>
        <w:t xml:space="preserve">Application: Beyond providing vaccines, offer educational sessions about preventative health, nutrition, and the importance of regular health check-ups to encourage a proactive approach to health.</w:t>
      </w:r>
    </w:p>
    <w:p w:rsidR="00000000" w:rsidDel="00000000" w:rsidP="00000000" w:rsidRDefault="00000000" w:rsidRPr="00000000" w14:paraId="0000003A">
      <w:pPr>
        <w:spacing w:after="200" w:before="200" w:lineRule="auto"/>
        <w:ind w:left="0" w:firstLine="0"/>
        <w:rPr>
          <w:b w:val="1"/>
        </w:rPr>
      </w:pPr>
      <w:r w:rsidDel="00000000" w:rsidR="00000000" w:rsidRPr="00000000">
        <w:rPr>
          <w:b w:val="1"/>
          <w:rtl w:val="0"/>
        </w:rPr>
        <w:t xml:space="preserve">Conclusion</w:t>
      </w:r>
    </w:p>
    <w:p w:rsidR="00000000" w:rsidDel="00000000" w:rsidP="00000000" w:rsidRDefault="00000000" w:rsidRPr="00000000" w14:paraId="0000003B">
      <w:pPr>
        <w:numPr>
          <w:ilvl w:val="0"/>
          <w:numId w:val="12"/>
        </w:numPr>
        <w:ind w:left="720" w:hanging="360"/>
      </w:pPr>
      <w:r w:rsidDel="00000000" w:rsidR="00000000" w:rsidRPr="00000000">
        <w:rPr>
          <w:rtl w:val="0"/>
        </w:rPr>
        <w:t xml:space="preserve">The efforts to enhance vaccine uptake and overall health literacy in the Village Apartments represent a commitment not only to public health but also to community engagement and empowerment. Through the strategies outlined in this guidance document, the initiative seeks to build a sustainable model of health promotion that is deeply integrated into the fabric of the community.</w:t>
      </w:r>
    </w:p>
    <w:p w:rsidR="00000000" w:rsidDel="00000000" w:rsidP="00000000" w:rsidRDefault="00000000" w:rsidRPr="00000000" w14:paraId="0000003C">
      <w:pPr>
        <w:numPr>
          <w:ilvl w:val="0"/>
          <w:numId w:val="12"/>
        </w:numPr>
        <w:ind w:left="720" w:hanging="360"/>
      </w:pPr>
      <w:r w:rsidDel="00000000" w:rsidR="00000000" w:rsidRPr="00000000">
        <w:rPr>
          <w:rtl w:val="0"/>
        </w:rPr>
        <w:t xml:space="preserve">Community-Centered Approach: The consistent presence of health outreach activities, tailored to meet the specific needs and cultural nuances of the community, has proven to be effective. By maintaining regular visits, leveraging local influencers, and addressing barriers proactively, we have laid a strong foundation for trust and engagement. These efforts underscore the importance of approaching public health initiatives with a deep respect for and understanding of the community’s dynamics.</w:t>
      </w:r>
    </w:p>
    <w:p w:rsidR="00000000" w:rsidDel="00000000" w:rsidP="00000000" w:rsidRDefault="00000000" w:rsidRPr="00000000" w14:paraId="0000003D">
      <w:pPr>
        <w:numPr>
          <w:ilvl w:val="0"/>
          <w:numId w:val="12"/>
        </w:numPr>
        <w:ind w:left="720" w:hanging="360"/>
      </w:pPr>
      <w:r w:rsidDel="00000000" w:rsidR="00000000" w:rsidRPr="00000000">
        <w:rPr>
          <w:rtl w:val="0"/>
        </w:rPr>
        <w:t xml:space="preserve">Feedback and Adaptation: The adoption of a responsive feedback mechanism has been crucial. It has allowed the team to stay attuned to the community's needs and preferences, adapting strategies in real time to enhance the effectiveness of health messaging and services. This iterative approach ensures that the outreach remains relevant and respectful, fostering a sense of ownership and partnership among community members.</w:t>
      </w:r>
    </w:p>
    <w:p w:rsidR="00000000" w:rsidDel="00000000" w:rsidP="00000000" w:rsidRDefault="00000000" w:rsidRPr="00000000" w14:paraId="0000003E">
      <w:pPr>
        <w:numPr>
          <w:ilvl w:val="0"/>
          <w:numId w:val="12"/>
        </w:numPr>
        <w:ind w:left="720" w:hanging="360"/>
      </w:pPr>
      <w:r w:rsidDel="00000000" w:rsidR="00000000" w:rsidRPr="00000000">
        <w:rPr>
          <w:rtl w:val="0"/>
        </w:rPr>
        <w:t xml:space="preserve">Integration and Empowerment: Linking health services with other community activities has facilitated a more holistic approach to community welfare. By integrating health outreach with educational, nutritional, and social services, we have seen an increase in participation and health literacy, demonstrating the power of comprehensive community engagement.</w:t>
      </w:r>
    </w:p>
    <w:p w:rsidR="00000000" w:rsidDel="00000000" w:rsidP="00000000" w:rsidRDefault="00000000" w:rsidRPr="00000000" w14:paraId="0000003F">
      <w:pPr>
        <w:numPr>
          <w:ilvl w:val="0"/>
          <w:numId w:val="12"/>
        </w:numPr>
        <w:ind w:left="720" w:hanging="360"/>
      </w:pPr>
      <w:r w:rsidDel="00000000" w:rsidR="00000000" w:rsidRPr="00000000">
        <w:rPr>
          <w:rtl w:val="0"/>
        </w:rPr>
        <w:t xml:space="preserve">Future Directions: Looking ahead, the continuous evolution of this outreach initiative will focus on further empowering residents through education, enhancing cultural competence among outreach teams, and expanding the integration of health services into everyday community life. We are committed to refining our approaches based on ongoing community feedback and the evolving landscape of public health.</w:t>
      </w:r>
    </w:p>
    <w:p w:rsidR="00000000" w:rsidDel="00000000" w:rsidP="00000000" w:rsidRDefault="00000000" w:rsidRPr="00000000" w14:paraId="00000040">
      <w:pPr>
        <w:numPr>
          <w:ilvl w:val="0"/>
          <w:numId w:val="12"/>
        </w:numPr>
        <w:ind w:left="720" w:hanging="360"/>
      </w:pPr>
      <w:r w:rsidDel="00000000" w:rsidR="00000000" w:rsidRPr="00000000">
        <w:rPr>
          <w:rtl w:val="0"/>
        </w:rPr>
        <w:t xml:space="preserve">Final Thought: The successes and failures of the vaccine outreach program in the Village Apartments serves as a testament to the potential and pitfalls of community-based health initiatives. As we move forward, we will continue to prioritize the needs and voices of the community, ensuring that our efforts not only meet but exceed the expectations of those we serve, paving the way for a healthier, more informed, and empowered community.</w:t>
      </w:r>
    </w:p>
    <w:p w:rsidR="00000000" w:rsidDel="00000000" w:rsidP="00000000" w:rsidRDefault="00000000" w:rsidRPr="00000000" w14:paraId="00000041">
      <w:pPr>
        <w:rPr/>
      </w:pPr>
      <w:r w:rsidDel="00000000" w:rsidR="00000000" w:rsidRPr="00000000">
        <w:rPr/>
        <w:drawing>
          <wp:inline distB="114300" distT="114300" distL="114300" distR="114300">
            <wp:extent cx="4591050" cy="5924550"/>
            <wp:effectExtent b="0" l="0" r="0" t="0"/>
            <wp:docPr id="3" name="image5.jpg"/>
            <a:graphic>
              <a:graphicData uri="http://schemas.openxmlformats.org/drawingml/2006/picture">
                <pic:pic>
                  <pic:nvPicPr>
                    <pic:cNvPr id="0" name="image5.jpg"/>
                    <pic:cNvPicPr preferRelativeResize="0"/>
                  </pic:nvPicPr>
                  <pic:blipFill>
                    <a:blip r:embed="rId6"/>
                    <a:srcRect b="0" l="0" r="19127" t="21761"/>
                    <a:stretch>
                      <a:fillRect/>
                    </a:stretch>
                  </pic:blipFill>
                  <pic:spPr>
                    <a:xfrm>
                      <a:off x="0" y="0"/>
                      <a:ext cx="4591050" cy="5924550"/>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rPr/>
      </w:pPr>
      <w:r w:rsidDel="00000000" w:rsidR="00000000" w:rsidRPr="00000000">
        <w:rPr/>
        <w:drawing>
          <wp:inline distB="114300" distT="114300" distL="114300" distR="114300">
            <wp:extent cx="6858000" cy="5143500"/>
            <wp:effectExtent b="0" l="0" r="0" t="0"/>
            <wp:docPr id="6" name="image7.jpg"/>
            <a:graphic>
              <a:graphicData uri="http://schemas.openxmlformats.org/drawingml/2006/picture">
                <pic:pic>
                  <pic:nvPicPr>
                    <pic:cNvPr id="0" name="image7.jpg"/>
                    <pic:cNvPicPr preferRelativeResize="0"/>
                  </pic:nvPicPr>
                  <pic:blipFill>
                    <a:blip r:embed="rId7"/>
                    <a:srcRect b="0" l="0" r="0" t="0"/>
                    <a:stretch>
                      <a:fillRect/>
                    </a:stretch>
                  </pic:blipFill>
                  <pic:spPr>
                    <a:xfrm>
                      <a:off x="0" y="0"/>
                      <a:ext cx="6858000" cy="5143500"/>
                    </a:xfrm>
                    <a:prstGeom prst="rect"/>
                    <a:ln/>
                  </pic:spPr>
                </pic:pic>
              </a:graphicData>
            </a:graphic>
          </wp:inline>
        </w:drawing>
      </w:r>
      <w:r w:rsidDel="00000000" w:rsidR="00000000" w:rsidRPr="00000000">
        <w:rPr/>
        <w:drawing>
          <wp:inline distB="114300" distT="114300" distL="114300" distR="114300">
            <wp:extent cx="6858000" cy="5143500"/>
            <wp:effectExtent b="0" l="0" r="0" t="0"/>
            <wp:docPr id="4"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6858000" cy="5143500"/>
                    </a:xfrm>
                    <a:prstGeom prst="rect"/>
                    <a:ln/>
                  </pic:spPr>
                </pic:pic>
              </a:graphicData>
            </a:graphic>
          </wp:inline>
        </w:drawing>
      </w:r>
      <w:r w:rsidDel="00000000" w:rsidR="00000000" w:rsidRPr="00000000">
        <w:rPr/>
        <w:drawing>
          <wp:inline distB="114300" distT="114300" distL="114300" distR="114300">
            <wp:extent cx="6858000" cy="5143500"/>
            <wp:effectExtent b="0" l="0" r="0" t="0"/>
            <wp:docPr id="5"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6858000" cy="5143500"/>
                    </a:xfrm>
                    <a:prstGeom prst="rect"/>
                    <a:ln/>
                  </pic:spPr>
                </pic:pic>
              </a:graphicData>
            </a:graphic>
          </wp:inline>
        </w:drawing>
      </w:r>
      <w:r w:rsidDel="00000000" w:rsidR="00000000" w:rsidRPr="00000000">
        <w:rPr>
          <w:rtl w:val="0"/>
        </w:rPr>
      </w:r>
    </w:p>
    <w:sectPr>
      <w:headerReference r:id="rId10" w:type="default"/>
      <w:footerReference r:id="rId11" w:type="default"/>
      <w:pgSz w:h="15840" w:w="12240" w:orient="portrait"/>
      <w:pgMar w:bottom="1440" w:top="216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4">
    <w:pP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-380999</wp:posOffset>
              </wp:positionH>
              <wp:positionV relativeFrom="paragraph">
                <wp:posOffset>-114299</wp:posOffset>
              </wp:positionV>
              <wp:extent cx="7629525" cy="666750"/>
              <wp:effectExtent b="0" l="0" r="0" t="0"/>
              <wp:wrapNone/>
              <wp:docPr id="2" name=""/>
              <a:graphic>
                <a:graphicData uri="http://schemas.microsoft.com/office/word/2010/wordprocessingGroup">
                  <wpg:wgp>
                    <wpg:cNvGrpSpPr/>
                    <wpg:grpSpPr>
                      <a:xfrm>
                        <a:off x="1573450" y="3448200"/>
                        <a:ext cx="7629525" cy="666750"/>
                        <a:chOff x="1573450" y="3448200"/>
                        <a:chExt cx="7545100" cy="663600"/>
                      </a:xfrm>
                    </wpg:grpSpPr>
                    <wpg:grpSp>
                      <wpg:cNvGrpSpPr/>
                      <wpg:grpSpPr>
                        <a:xfrm>
                          <a:off x="1573465" y="3448213"/>
                          <a:ext cx="7545070" cy="663575"/>
                          <a:chOff x="1572825" y="3447575"/>
                          <a:chExt cx="7545075" cy="663600"/>
                        </a:xfrm>
                      </wpg:grpSpPr>
                      <wps:wsp>
                        <wps:cNvSpPr/>
                        <wps:cNvPr id="3" name="Shape 3"/>
                        <wps:spPr>
                          <a:xfrm>
                            <a:off x="1572825" y="3447575"/>
                            <a:ext cx="7545075" cy="663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572830" y="3447578"/>
                            <a:ext cx="7545070" cy="663575"/>
                            <a:chOff x="358" y="14795"/>
                            <a:chExt cx="11882" cy="1045"/>
                          </a:xfrm>
                        </wpg:grpSpPr>
                        <wps:wsp>
                          <wps:cNvSpPr/>
                          <wps:cNvPr id="10" name="Shape 10"/>
                          <wps:spPr>
                            <a:xfrm>
                              <a:off x="359" y="14796"/>
                              <a:ext cx="11875" cy="1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a:off x="7351" y="14803"/>
                              <a:ext cx="2054" cy="1037"/>
                            </a:xfrm>
                            <a:custGeom>
                              <a:rect b="b" l="l" r="r" t="t"/>
                              <a:pathLst>
                                <a:path extrusionOk="0" h="1037" w="2054">
                                  <a:moveTo>
                                    <a:pt x="2053" y="0"/>
                                  </a:moveTo>
                                  <a:lnTo>
                                    <a:pt x="642" y="1036"/>
                                  </a:lnTo>
                                  <a:lnTo>
                                    <a:pt x="0" y="1036"/>
                                  </a:lnTo>
                                  <a:lnTo>
                                    <a:pt x="353" y="522"/>
                                  </a:lnTo>
                                  <a:lnTo>
                                    <a:pt x="2053" y="0"/>
                                  </a:lnTo>
                                  <a:close/>
                                </a:path>
                              </a:pathLst>
                            </a:custGeom>
                            <a:solidFill>
                              <a:srgbClr val="098086"/>
                            </a:solidFill>
                            <a:ln>
                              <a:noFill/>
                            </a:ln>
                          </wps:spPr>
                          <wps:bodyPr anchorCtr="0" anchor="ctr" bIns="91425" lIns="91425" spcFirstLastPara="1" rIns="91425" wrap="square" tIns="91425">
                            <a:noAutofit/>
                          </wps:bodyPr>
                        </wps:wsp>
                        <wps:wsp>
                          <wps:cNvSpPr/>
                          <wps:cNvPr id="12" name="Shape 12"/>
                          <wps:spPr>
                            <a:xfrm>
                              <a:off x="358" y="15018"/>
                              <a:ext cx="11882" cy="822"/>
                            </a:xfrm>
                            <a:prstGeom prst="rect">
                              <a:avLst/>
                            </a:prstGeom>
                            <a:solidFill>
                              <a:srgbClr val="37486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 name="Shape 13"/>
                          <wps:spPr>
                            <a:xfrm>
                              <a:off x="8008" y="14795"/>
                              <a:ext cx="4232" cy="1045"/>
                            </a:xfrm>
                            <a:custGeom>
                              <a:rect b="b" l="l" r="r" t="t"/>
                              <a:pathLst>
                                <a:path extrusionOk="0" h="1045" w="4232">
                                  <a:moveTo>
                                    <a:pt x="1401" y="0"/>
                                  </a:moveTo>
                                  <a:lnTo>
                                    <a:pt x="4231" y="0"/>
                                  </a:lnTo>
                                  <a:lnTo>
                                    <a:pt x="4231" y="1027"/>
                                  </a:lnTo>
                                  <a:lnTo>
                                    <a:pt x="4209" y="1044"/>
                                  </a:lnTo>
                                  <a:lnTo>
                                    <a:pt x="0" y="1044"/>
                                  </a:lnTo>
                                  <a:lnTo>
                                    <a:pt x="1401" y="0"/>
                                  </a:lnTo>
                                  <a:close/>
                                </a:path>
                              </a:pathLst>
                            </a:custGeom>
                            <a:solidFill>
                              <a:srgbClr val="BEE4E4"/>
                            </a:solidFill>
                            <a:ln>
                              <a:noFill/>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-380999</wp:posOffset>
              </wp:positionH>
              <wp:positionV relativeFrom="paragraph">
                <wp:posOffset>-114299</wp:posOffset>
              </wp:positionV>
              <wp:extent cx="7629525" cy="666750"/>
              <wp:effectExtent b="0" l="0" r="0" t="0"/>
              <wp:wrapNone/>
              <wp:docPr id="2"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7629525" cy="666750"/>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3">
    <w:pPr>
      <w:rPr/>
    </w:pPr>
    <w:r w:rsidDel="00000000" w:rsidR="00000000" w:rsidRPr="00000000">
      <w:rPr/>
      <mc:AlternateContent>
        <mc:Choice Requires="wpg">
          <w:drawing>
            <wp:anchor allowOverlap="1" behindDoc="1" distB="0" distT="0" distL="0" distR="0" hidden="0" layoutInCell="1" locked="0" relativeHeight="0" simplePos="0">
              <wp:simplePos x="0" y="0"/>
              <wp:positionH relativeFrom="page">
                <wp:posOffset>71438</wp:posOffset>
              </wp:positionH>
              <wp:positionV relativeFrom="page">
                <wp:posOffset>47625</wp:posOffset>
              </wp:positionV>
              <wp:extent cx="7625080" cy="1181100"/>
              <wp:effectExtent b="0" l="0" r="0" t="0"/>
              <wp:wrapNone/>
              <wp:docPr id="1" name=""/>
              <a:graphic>
                <a:graphicData uri="http://schemas.microsoft.com/office/word/2010/wordprocessingGroup">
                  <wpg:wgp>
                    <wpg:cNvGrpSpPr/>
                    <wpg:grpSpPr>
                      <a:xfrm>
                        <a:off x="1533450" y="3189450"/>
                        <a:ext cx="7625080" cy="1181100"/>
                        <a:chOff x="1533450" y="3189450"/>
                        <a:chExt cx="7625100" cy="1181100"/>
                      </a:xfrm>
                    </wpg:grpSpPr>
                    <wpg:grpSp>
                      <wpg:cNvGrpSpPr/>
                      <wpg:grpSpPr>
                        <a:xfrm>
                          <a:off x="1533460" y="3189450"/>
                          <a:ext cx="7625695" cy="1181100"/>
                          <a:chOff x="1533450" y="3189450"/>
                          <a:chExt cx="7625090" cy="1181100"/>
                        </a:xfrm>
                      </wpg:grpSpPr>
                      <wps:wsp>
                        <wps:cNvSpPr/>
                        <wps:cNvPr id="3" name="Shape 3"/>
                        <wps:spPr>
                          <a:xfrm>
                            <a:off x="1533450" y="3189450"/>
                            <a:ext cx="7624475" cy="1181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533460" y="3189450"/>
                            <a:ext cx="7625080" cy="1181100"/>
                            <a:chOff x="0" y="703"/>
                            <a:chExt cx="12008" cy="1860"/>
                          </a:xfrm>
                        </wpg:grpSpPr>
                        <wps:wsp>
                          <wps:cNvSpPr/>
                          <wps:cNvPr id="5" name="Shape 5"/>
                          <wps:spPr>
                            <a:xfrm>
                              <a:off x="0" y="703"/>
                              <a:ext cx="12000" cy="18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a:off x="0" y="1004"/>
                              <a:ext cx="12008" cy="795"/>
                            </a:xfrm>
                            <a:custGeom>
                              <a:rect b="b" l="l" r="r" t="t"/>
                              <a:pathLst>
                                <a:path extrusionOk="0" h="795" w="12008">
                                  <a:moveTo>
                                    <a:pt x="1807" y="0"/>
                                  </a:moveTo>
                                  <a:lnTo>
                                    <a:pt x="0" y="0"/>
                                  </a:lnTo>
                                  <a:lnTo>
                                    <a:pt x="0" y="795"/>
                                  </a:lnTo>
                                  <a:lnTo>
                                    <a:pt x="1807" y="795"/>
                                  </a:lnTo>
                                  <a:lnTo>
                                    <a:pt x="1807" y="0"/>
                                  </a:lnTo>
                                  <a:close/>
                                  <a:moveTo>
                                    <a:pt x="12007" y="0"/>
                                  </a:moveTo>
                                  <a:lnTo>
                                    <a:pt x="3098" y="0"/>
                                  </a:lnTo>
                                  <a:lnTo>
                                    <a:pt x="3098" y="795"/>
                                  </a:lnTo>
                                  <a:lnTo>
                                    <a:pt x="12007" y="795"/>
                                  </a:lnTo>
                                  <a:lnTo>
                                    <a:pt x="12007" y="0"/>
                                  </a:lnTo>
                                  <a:close/>
                                </a:path>
                              </a:pathLst>
                            </a:custGeom>
                            <a:solidFill>
                              <a:srgbClr val="BEE4E4"/>
                            </a:solidFill>
                            <a:ln>
                              <a:noFill/>
                            </a:ln>
                          </wps:spPr>
                          <wps:bodyPr anchorCtr="0" anchor="ctr" bIns="91425" lIns="91425" spcFirstLastPara="1" rIns="91425" wrap="square" tIns="91425">
                            <a:noAutofit/>
                          </wps:bodyPr>
                        </wps:wsp>
                        <pic:pic>
                          <pic:nvPicPr>
                            <pic:cNvPr id="7" name="Shape 7"/>
                            <pic:cNvPicPr preferRelativeResize="0"/>
                          </pic:nvPicPr>
                          <pic:blipFill rotWithShape="1">
                            <a:blip r:embed="rId1">
                              <a:alphaModFix/>
                            </a:blip>
                            <a:srcRect b="0" l="0" r="0" t="0"/>
                            <a:stretch/>
                          </pic:blipFill>
                          <pic:spPr>
                            <a:xfrm>
                              <a:off x="1414" y="703"/>
                              <a:ext cx="2115" cy="1860"/>
                            </a:xfrm>
                            <a:prstGeom prst="rect">
                              <a:avLst/>
                            </a:prstGeom>
                            <a:noFill/>
                            <a:ln>
                              <a:noFill/>
                            </a:ln>
                          </pic:spPr>
                        </pic:pic>
                      </wpg:grpSp>
                    </wpg:grpSp>
                  </wpg:wgp>
                </a:graphicData>
              </a:graphic>
            </wp:anchor>
          </w:drawing>
        </mc:Choice>
        <mc:Fallback>
          <w:drawing>
            <wp:anchor allowOverlap="1" behindDoc="1" distB="0" distT="0" distL="0" distR="0" hidden="0" layoutInCell="1" locked="0" relativeHeight="0" simplePos="0">
              <wp:simplePos x="0" y="0"/>
              <wp:positionH relativeFrom="page">
                <wp:posOffset>71438</wp:posOffset>
              </wp:positionH>
              <wp:positionV relativeFrom="page">
                <wp:posOffset>47625</wp:posOffset>
              </wp:positionV>
              <wp:extent cx="7625080" cy="1181100"/>
              <wp:effectExtent b="0" l="0" r="0" t="0"/>
              <wp:wrapNone/>
              <wp:docPr id="1" name="image1.png"/>
              <a:graphic>
                <a:graphicData uri="http://schemas.openxmlformats.org/drawingml/2006/picture">
                  <pic:pic>
                    <pic:nvPicPr>
                      <pic:cNvPr id="0" name="image1.png"/>
                      <pic:cNvPicPr preferRelativeResize="0"/>
                    </pic:nvPicPr>
                    <pic:blipFill>
                      <a:blip r:embed="rId2"/>
                      <a:srcRect/>
                      <a:stretch>
                        <a:fillRect/>
                      </a:stretch>
                    </pic:blipFill>
                    <pic:spPr>
                      <a:xfrm>
                        <a:off x="0" y="0"/>
                        <a:ext cx="7625080" cy="1181100"/>
                      </a:xfrm>
                      <a:prstGeom prst="rect"/>
                      <a:ln/>
                    </pic:spPr>
                  </pic:pic>
                </a:graphicData>
              </a:graphic>
            </wp:anchor>
          </w:drawing>
        </mc:Fallback>
      </mc:AlternateConten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header" Target="header1.xml"/><Relationship Id="rId9" Type="http://schemas.openxmlformats.org/officeDocument/2006/relationships/image" Target="media/image6.jpg"/><Relationship Id="rId5" Type="http://schemas.openxmlformats.org/officeDocument/2006/relationships/styles" Target="styles.xml"/><Relationship Id="rId6" Type="http://schemas.openxmlformats.org/officeDocument/2006/relationships/image" Target="media/image5.jpg"/><Relationship Id="rId7" Type="http://schemas.openxmlformats.org/officeDocument/2006/relationships/image" Target="media/image7.jpg"/><Relationship Id="rId8" Type="http://schemas.openxmlformats.org/officeDocument/2006/relationships/image" Target="media/image4.jp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